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88789" w14:textId="633D23C5" w:rsidR="00856DD1" w:rsidRDefault="00856DD1" w:rsidP="007D3C08">
      <w:pPr>
        <w:pStyle w:val="aa"/>
        <w:rPr>
          <w:rFonts w:eastAsia="宋体" w:cs="Arial"/>
          <w:bCs/>
          <w:sz w:val="22"/>
          <w:lang w:eastAsia="zh-CN"/>
        </w:rPr>
      </w:pPr>
      <w:r>
        <w:rPr>
          <w:rFonts w:cs="Arial"/>
          <w:bCs/>
          <w:sz w:val="22"/>
        </w:rPr>
        <w:t xml:space="preserve">3GPP TSG RAN WG1 </w:t>
      </w:r>
      <w:r>
        <w:rPr>
          <w:rFonts w:eastAsia="宋体" w:cs="Arial"/>
          <w:bCs/>
          <w:sz w:val="22"/>
          <w:lang w:eastAsia="zh-CN"/>
        </w:rPr>
        <w:t>#100</w:t>
      </w:r>
      <w:r w:rsidR="00993131">
        <w:rPr>
          <w:rFonts w:eastAsia="宋体" w:cs="Arial"/>
          <w:bCs/>
          <w:sz w:val="22"/>
          <w:lang w:eastAsia="zh-CN"/>
        </w:rPr>
        <w:t>bis</w:t>
      </w:r>
      <w:r>
        <w:rPr>
          <w:rFonts w:cs="Arial"/>
          <w:bCs/>
          <w:sz w:val="22"/>
        </w:rPr>
        <w:tab/>
      </w:r>
      <w:r>
        <w:rPr>
          <w:rFonts w:cs="Arial"/>
          <w:bCs/>
          <w:sz w:val="22"/>
        </w:rPr>
        <w:tab/>
        <w:t>R1-20</w:t>
      </w:r>
      <w:r w:rsidR="00F944AA" w:rsidRPr="00F944AA">
        <w:rPr>
          <w:rFonts w:cs="Arial"/>
          <w:bCs/>
          <w:sz w:val="22"/>
        </w:rPr>
        <w:t>0164</w:t>
      </w:r>
      <w:r w:rsidR="00CB0257">
        <w:rPr>
          <w:rFonts w:cs="Arial"/>
          <w:bCs/>
          <w:sz w:val="22"/>
        </w:rPr>
        <w:t>5</w:t>
      </w:r>
    </w:p>
    <w:p w14:paraId="31A46F15" w14:textId="493D9EC4" w:rsidR="00856DD1" w:rsidRPr="00AA7383" w:rsidRDefault="00856DD1" w:rsidP="00856DD1">
      <w:pPr>
        <w:pStyle w:val="aa"/>
        <w:jc w:val="both"/>
        <w:rPr>
          <w:rFonts w:cs="Arial"/>
          <w:bCs/>
          <w:sz w:val="22"/>
        </w:rPr>
      </w:pPr>
      <w:r w:rsidRPr="00856DD1">
        <w:rPr>
          <w:rFonts w:cs="Arial"/>
          <w:bCs/>
          <w:sz w:val="22"/>
        </w:rPr>
        <w:t xml:space="preserve">e-Meeting, </w:t>
      </w:r>
      <w:r w:rsidR="00FA49DB">
        <w:rPr>
          <w:rFonts w:cs="Arial"/>
          <w:bCs/>
          <w:sz w:val="22"/>
        </w:rPr>
        <w:t>April</w:t>
      </w:r>
      <w:r w:rsidRPr="00856DD1">
        <w:rPr>
          <w:rFonts w:cs="Arial"/>
          <w:bCs/>
          <w:sz w:val="22"/>
        </w:rPr>
        <w:t xml:space="preserve"> </w:t>
      </w:r>
      <w:r w:rsidR="00FA49DB">
        <w:rPr>
          <w:rFonts w:cs="Arial"/>
          <w:bCs/>
          <w:sz w:val="22"/>
        </w:rPr>
        <w:t>20</w:t>
      </w:r>
      <w:r w:rsidRPr="00856DD1">
        <w:rPr>
          <w:rFonts w:cs="Arial"/>
          <w:bCs/>
          <w:sz w:val="22"/>
        </w:rPr>
        <w:t xml:space="preserve">th – </w:t>
      </w:r>
      <w:r w:rsidR="00FA49DB">
        <w:rPr>
          <w:rFonts w:cs="Arial"/>
          <w:bCs/>
          <w:sz w:val="22"/>
        </w:rPr>
        <w:t>30</w:t>
      </w:r>
      <w:r w:rsidRPr="00856DD1">
        <w:rPr>
          <w:rFonts w:cs="Arial"/>
          <w:bCs/>
          <w:sz w:val="22"/>
        </w:rPr>
        <w:t>th, 2020</w:t>
      </w:r>
    </w:p>
    <w:p w14:paraId="0C464A14" w14:textId="77777777" w:rsidR="00EA5A61" w:rsidRDefault="00EA5A61">
      <w:pPr>
        <w:pStyle w:val="aa"/>
        <w:tabs>
          <w:tab w:val="clear" w:pos="4536"/>
          <w:tab w:val="left" w:pos="1800"/>
        </w:tabs>
        <w:ind w:left="1800" w:hanging="1800"/>
        <w:rPr>
          <w:rFonts w:eastAsia="宋体" w:cs="Arial"/>
          <w:sz w:val="22"/>
          <w:szCs w:val="22"/>
          <w:lang w:eastAsia="zh-CN"/>
        </w:rPr>
      </w:pPr>
    </w:p>
    <w:p w14:paraId="7F94A5BF"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027ED663"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A94C15">
        <w:rPr>
          <w:rFonts w:cs="Arial"/>
          <w:sz w:val="22"/>
          <w:szCs w:val="22"/>
        </w:rPr>
        <w:t>Clarification on UE behavior with empty list for SFI combination per cell</w:t>
      </w:r>
    </w:p>
    <w:p w14:paraId="2B7F8150" w14:textId="34AE4C93"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CB0257">
        <w:rPr>
          <w:rFonts w:eastAsia="宋体" w:cs="Arial"/>
          <w:sz w:val="22"/>
          <w:szCs w:val="22"/>
          <w:lang w:eastAsia="zh-CN"/>
        </w:rPr>
        <w:t>1.3</w:t>
      </w:r>
    </w:p>
    <w:p w14:paraId="55909135"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5A0463CF" w:rsidR="00856DD1" w:rsidRPr="00A13F19" w:rsidRDefault="00A94C15" w:rsidP="00A80EBB">
      <w:pPr>
        <w:spacing w:before="120" w:after="120"/>
        <w:jc w:val="both"/>
        <w:rPr>
          <w:rFonts w:ascii="Times New Roman" w:hAnsi="Times New Roman"/>
        </w:rPr>
      </w:pPr>
      <w:r>
        <w:rPr>
          <w:rFonts w:ascii="Times New Roman" w:hAnsi="Times New Roman"/>
        </w:rPr>
        <w:t xml:space="preserve">In NR Rel-15, SFI </w:t>
      </w:r>
      <w:r w:rsidR="002250B5">
        <w:rPr>
          <w:rFonts w:ascii="Times New Roman" w:hAnsi="Times New Roman"/>
        </w:rPr>
        <w:t>is used to indicate slot format</w:t>
      </w:r>
      <w:r>
        <w:rPr>
          <w:rFonts w:ascii="Times New Roman" w:hAnsi="Times New Roman"/>
        </w:rPr>
        <w:t xml:space="preserve"> </w:t>
      </w:r>
      <w:r w:rsidR="002250B5">
        <w:rPr>
          <w:rFonts w:ascii="Times New Roman" w:hAnsi="Times New Roman"/>
        </w:rPr>
        <w:t xml:space="preserve">for a set of serving cells configured to UE by </w:t>
      </w:r>
      <w:r w:rsidR="002250B5" w:rsidRPr="002250B5">
        <w:rPr>
          <w:rFonts w:ascii="Times New Roman" w:hAnsi="Times New Roman"/>
          <w:i/>
        </w:rPr>
        <w:t>slotFormatCombToAddModList and slotFo</w:t>
      </w:r>
      <w:bookmarkStart w:id="0" w:name="_GoBack"/>
      <w:bookmarkEnd w:id="0"/>
      <w:r w:rsidR="002250B5" w:rsidRPr="002250B5">
        <w:rPr>
          <w:rFonts w:ascii="Times New Roman" w:hAnsi="Times New Roman"/>
          <w:i/>
        </w:rPr>
        <w:t>rmatCombToReleaseList.</w:t>
      </w:r>
      <w:r w:rsidR="002250B5">
        <w:rPr>
          <w:rFonts w:ascii="Times New Roman" w:hAnsi="Times New Roman"/>
          <w:i/>
        </w:rPr>
        <w:t xml:space="preserve"> </w:t>
      </w:r>
      <w:r w:rsidR="00A13F19">
        <w:rPr>
          <w:rFonts w:ascii="Times New Roman" w:hAnsi="Times New Roman"/>
        </w:rPr>
        <w:t xml:space="preserve">In this paper, UE behavior in a specific scenario is discussed, i.e. </w:t>
      </w:r>
      <w:r w:rsidR="003E7420">
        <w:rPr>
          <w:rFonts w:ascii="Times New Roman" w:hAnsi="Times New Roman"/>
        </w:rPr>
        <w:t xml:space="preserve">empty list for SFI combination per cell. </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F539B71"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377978F6" w14:textId="388F6B10" w:rsidR="003E7420" w:rsidRDefault="00CF3ABC" w:rsidP="003E7420">
      <w:pPr>
        <w:spacing w:before="120" w:after="120"/>
        <w:jc w:val="both"/>
        <w:rPr>
          <w:rFonts w:ascii="Times New Roman" w:hAnsi="Times New Roman"/>
        </w:rPr>
      </w:pPr>
      <w:bookmarkStart w:id="2" w:name="_Ref521492551"/>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w:t>
      </w:r>
      <w:r w:rsidR="003925EF">
        <w:rPr>
          <w:rFonts w:ascii="Times New Roman" w:hAnsi="Times New Roman"/>
        </w:rPr>
        <w:t>,</w:t>
      </w:r>
      <w:r w:rsidRPr="00B971CB">
        <w:rPr>
          <w:rFonts w:ascii="Times New Roman" w:hAnsi="Times New Roman"/>
        </w:rPr>
        <w:t xml:space="preserve"> </w:t>
      </w:r>
      <w:bookmarkStart w:id="3" w:name="_Hlk37352037"/>
      <w:bookmarkStart w:id="4" w:name="PP12"/>
      <w:bookmarkStart w:id="5" w:name="_Hlk32419238"/>
      <w:r w:rsidR="00522431">
        <w:rPr>
          <w:rFonts w:ascii="Times New Roman" w:hAnsi="Times New Roman"/>
        </w:rPr>
        <w:t>t</w:t>
      </w:r>
      <w:r w:rsidR="00522431" w:rsidRPr="00522431">
        <w:rPr>
          <w:rFonts w:ascii="Times New Roman" w:hAnsi="Times New Roman"/>
        </w:rPr>
        <w:t xml:space="preserve">he IE </w:t>
      </w:r>
      <w:r w:rsidR="00522431" w:rsidRPr="00522431">
        <w:rPr>
          <w:rFonts w:ascii="Times New Roman" w:hAnsi="Times New Roman"/>
          <w:i/>
        </w:rPr>
        <w:t>SlotFormatIndicator</w:t>
      </w:r>
      <w:r w:rsidR="00522431" w:rsidRPr="00522431">
        <w:rPr>
          <w:rFonts w:ascii="Times New Roman" w:hAnsi="Times New Roman"/>
        </w:rPr>
        <w:t xml:space="preserve"> is used to configure monitoring a Group-Common-PDCCH for Slot-Format-Indicators (SFI)</w:t>
      </w:r>
      <w:r w:rsidR="00522431">
        <w:rPr>
          <w:rFonts w:ascii="Times New Roman" w:hAnsi="Times New Roman"/>
        </w:rPr>
        <w:t xml:space="preserve"> with</w:t>
      </w:r>
      <w:bookmarkEnd w:id="3"/>
      <w:r w:rsidR="00522431">
        <w:rPr>
          <w:rFonts w:ascii="Times New Roman" w:hAnsi="Times New Roman"/>
        </w:rPr>
        <w:t xml:space="preserve"> the following fields in TS 38.331</w:t>
      </w:r>
      <w:r w:rsidR="00CB14F1">
        <w:rPr>
          <w:rFonts w:ascii="Times New Roman" w:hAnsi="Times New Roman"/>
        </w:rPr>
        <w:t xml:space="preserve"> </w:t>
      </w:r>
      <w:r w:rsidR="00CB14F1">
        <w:rPr>
          <w:rFonts w:ascii="Times New Roman" w:hAnsi="Times New Roman"/>
        </w:rPr>
        <w:fldChar w:fldCharType="begin"/>
      </w:r>
      <w:r w:rsidR="00CB14F1">
        <w:rPr>
          <w:rFonts w:ascii="Times New Roman" w:hAnsi="Times New Roman"/>
        </w:rPr>
        <w:instrText xml:space="preserve"> REF _Ref37264640 \r \h </w:instrText>
      </w:r>
      <w:r w:rsidR="00CB14F1">
        <w:rPr>
          <w:rFonts w:ascii="Times New Roman" w:hAnsi="Times New Roman"/>
        </w:rPr>
      </w:r>
      <w:r w:rsidR="00CB14F1">
        <w:rPr>
          <w:rFonts w:ascii="Times New Roman" w:hAnsi="Times New Roman"/>
        </w:rPr>
        <w:fldChar w:fldCharType="separate"/>
      </w:r>
      <w:r w:rsidR="00D147B9">
        <w:rPr>
          <w:rFonts w:ascii="Times New Roman" w:hAnsi="Times New Roman"/>
        </w:rPr>
        <w:t>[1]</w:t>
      </w:r>
      <w:r w:rsidR="00CB14F1">
        <w:rPr>
          <w:rFonts w:ascii="Times New Roman" w:hAnsi="Times New Roman"/>
        </w:rPr>
        <w:fldChar w:fldCharType="end"/>
      </w:r>
      <w:r w:rsidR="00522431">
        <w:rPr>
          <w:rFonts w:ascii="Times New Roman" w:hAnsi="Times New Roman"/>
        </w:rPr>
        <w:t>:</w:t>
      </w:r>
    </w:p>
    <w:p w14:paraId="4D1DE7EC" w14:textId="77777777" w:rsidR="00522431" w:rsidRPr="00266482" w:rsidRDefault="00522431" w:rsidP="00522431">
      <w:pPr>
        <w:pStyle w:val="PL"/>
        <w:rPr>
          <w:sz w:val="11"/>
        </w:rPr>
      </w:pPr>
      <w:r w:rsidRPr="00266482">
        <w:rPr>
          <w:sz w:val="11"/>
        </w:rPr>
        <w:t>-- ASN1START</w:t>
      </w:r>
    </w:p>
    <w:p w14:paraId="0F5739E1" w14:textId="77777777" w:rsidR="00522431" w:rsidRPr="00266482" w:rsidRDefault="00522431" w:rsidP="00522431">
      <w:pPr>
        <w:pStyle w:val="PL"/>
        <w:rPr>
          <w:sz w:val="11"/>
        </w:rPr>
      </w:pPr>
      <w:r w:rsidRPr="00266482">
        <w:rPr>
          <w:sz w:val="11"/>
        </w:rPr>
        <w:t>-- TAG-SLOTFORMATINDICATOR-START</w:t>
      </w:r>
    </w:p>
    <w:p w14:paraId="20542ADB" w14:textId="77777777" w:rsidR="00522431" w:rsidRPr="00266482" w:rsidRDefault="00522431" w:rsidP="00522431">
      <w:pPr>
        <w:pStyle w:val="PL"/>
        <w:rPr>
          <w:sz w:val="11"/>
        </w:rPr>
      </w:pPr>
    </w:p>
    <w:p w14:paraId="57FCDD49" w14:textId="77777777" w:rsidR="00522431" w:rsidRPr="00266482" w:rsidRDefault="00522431" w:rsidP="00522431">
      <w:pPr>
        <w:pStyle w:val="PL"/>
        <w:rPr>
          <w:sz w:val="11"/>
        </w:rPr>
      </w:pPr>
      <w:r w:rsidRPr="00266482">
        <w:rPr>
          <w:sz w:val="11"/>
        </w:rPr>
        <w:t>SlotFormatIndicator ::=     SEQUENCE {</w:t>
      </w:r>
    </w:p>
    <w:p w14:paraId="1AC22F89" w14:textId="77777777" w:rsidR="00522431" w:rsidRPr="00266482" w:rsidRDefault="00522431" w:rsidP="00522431">
      <w:pPr>
        <w:pStyle w:val="PL"/>
        <w:rPr>
          <w:sz w:val="11"/>
        </w:rPr>
      </w:pPr>
      <w:r w:rsidRPr="00266482">
        <w:rPr>
          <w:sz w:val="11"/>
        </w:rPr>
        <w:t xml:space="preserve">    sfi-RNTI                    RNTI-Value,</w:t>
      </w:r>
    </w:p>
    <w:p w14:paraId="26A65178" w14:textId="77777777" w:rsidR="00522431" w:rsidRPr="00266482" w:rsidRDefault="00522431" w:rsidP="00522431">
      <w:pPr>
        <w:pStyle w:val="PL"/>
        <w:rPr>
          <w:sz w:val="11"/>
        </w:rPr>
      </w:pPr>
      <w:r w:rsidRPr="00266482">
        <w:rPr>
          <w:sz w:val="11"/>
        </w:rPr>
        <w:t xml:space="preserve">    dci-PayloadSize             INTEGER (1..maxSFI-DCI-PayloadSize),</w:t>
      </w:r>
    </w:p>
    <w:p w14:paraId="559032FF" w14:textId="77777777" w:rsidR="00522431" w:rsidRPr="00266482" w:rsidRDefault="00522431" w:rsidP="00522431">
      <w:pPr>
        <w:pStyle w:val="PL"/>
        <w:rPr>
          <w:sz w:val="11"/>
          <w:highlight w:val="yellow"/>
        </w:rPr>
      </w:pPr>
      <w:r w:rsidRPr="00266482">
        <w:rPr>
          <w:sz w:val="11"/>
        </w:rPr>
        <w:t xml:space="preserve">    </w:t>
      </w:r>
      <w:r w:rsidRPr="00266482">
        <w:rPr>
          <w:sz w:val="11"/>
          <w:highlight w:val="yellow"/>
        </w:rPr>
        <w:t>slotFormatCombToAddModList  SEQUENCE (SIZE(1..maxNrofAggregatedCellsPerCellGroup)) OF SlotFormatCombinationsPerCell</w:t>
      </w:r>
    </w:p>
    <w:p w14:paraId="180148A4" w14:textId="4EFE0A76" w:rsidR="00522431" w:rsidRPr="00266482" w:rsidRDefault="00522431" w:rsidP="00522431">
      <w:pPr>
        <w:pStyle w:val="PL"/>
        <w:rPr>
          <w:sz w:val="11"/>
          <w:highlight w:val="yellow"/>
        </w:rPr>
      </w:pPr>
      <w:r w:rsidRPr="00266482">
        <w:rPr>
          <w:sz w:val="11"/>
          <w:highlight w:val="yellow"/>
        </w:rPr>
        <w:t xml:space="preserve">                                                                                                                     OPTIONAL, -- Need N</w:t>
      </w:r>
    </w:p>
    <w:p w14:paraId="044C738E" w14:textId="3F9CF496" w:rsidR="00522431" w:rsidRPr="00266482" w:rsidRDefault="00522431" w:rsidP="00522431">
      <w:pPr>
        <w:pStyle w:val="PL"/>
        <w:rPr>
          <w:sz w:val="11"/>
        </w:rPr>
      </w:pPr>
      <w:r w:rsidRPr="00266482">
        <w:rPr>
          <w:sz w:val="11"/>
          <w:highlight w:val="yellow"/>
        </w:rPr>
        <w:t xml:space="preserve">    slotFormatCombToReleaseList SEQUENCE (SIZE(1..maxNrofAggregatedCellsPerCellGroup)) OF ServCellIndex              OPTIONAL, -- Need N</w:t>
      </w:r>
    </w:p>
    <w:p w14:paraId="03F9B601" w14:textId="77777777" w:rsidR="00522431" w:rsidRPr="00266482" w:rsidRDefault="00522431" w:rsidP="00522431">
      <w:pPr>
        <w:pStyle w:val="PL"/>
        <w:rPr>
          <w:sz w:val="11"/>
        </w:rPr>
      </w:pPr>
      <w:r w:rsidRPr="00266482">
        <w:rPr>
          <w:sz w:val="11"/>
        </w:rPr>
        <w:t xml:space="preserve">    ...</w:t>
      </w:r>
    </w:p>
    <w:p w14:paraId="1DC7E64F" w14:textId="77777777" w:rsidR="00522431" w:rsidRPr="00266482" w:rsidRDefault="00522431" w:rsidP="00522431">
      <w:pPr>
        <w:pStyle w:val="PL"/>
        <w:rPr>
          <w:sz w:val="11"/>
        </w:rPr>
      </w:pPr>
      <w:r w:rsidRPr="00266482">
        <w:rPr>
          <w:sz w:val="11"/>
        </w:rPr>
        <w:t>}</w:t>
      </w:r>
    </w:p>
    <w:p w14:paraId="18DB230B" w14:textId="77777777" w:rsidR="00522431" w:rsidRPr="00266482" w:rsidRDefault="00522431" w:rsidP="00522431">
      <w:pPr>
        <w:pStyle w:val="PL"/>
        <w:rPr>
          <w:sz w:val="11"/>
        </w:rPr>
      </w:pPr>
    </w:p>
    <w:p w14:paraId="29DC1545" w14:textId="77777777" w:rsidR="00522431" w:rsidRPr="00266482" w:rsidRDefault="00522431" w:rsidP="00522431">
      <w:pPr>
        <w:pStyle w:val="PL"/>
        <w:rPr>
          <w:sz w:val="11"/>
        </w:rPr>
      </w:pPr>
      <w:r w:rsidRPr="00266482">
        <w:rPr>
          <w:sz w:val="11"/>
        </w:rPr>
        <w:t>-- TAG-SLOTFORMATINDICATOR-STOP</w:t>
      </w:r>
    </w:p>
    <w:p w14:paraId="7B28BB59" w14:textId="77777777" w:rsidR="00522431" w:rsidRPr="00266482" w:rsidRDefault="00522431" w:rsidP="00522431">
      <w:pPr>
        <w:pStyle w:val="PL"/>
        <w:rPr>
          <w:sz w:val="11"/>
        </w:rPr>
      </w:pPr>
      <w:r w:rsidRPr="00266482">
        <w:rPr>
          <w:sz w:val="11"/>
        </w:rPr>
        <w:t>-- ASN1STOP</w:t>
      </w:r>
    </w:p>
    <w:p w14:paraId="124A8BDD" w14:textId="662814E5" w:rsidR="00522431" w:rsidRDefault="00537EC8" w:rsidP="003E7420">
      <w:pPr>
        <w:spacing w:before="120" w:after="120"/>
        <w:jc w:val="both"/>
        <w:rPr>
          <w:rFonts w:ascii="Times New Roman" w:hAnsi="Times New Roman"/>
        </w:rPr>
      </w:pPr>
      <w:r>
        <w:rPr>
          <w:rFonts w:ascii="Times New Roman" w:hAnsi="Times New Roman"/>
        </w:rPr>
        <w:t xml:space="preserve">Through RRC configuration/re-configuration on </w:t>
      </w:r>
      <w:r w:rsidR="00A129AB">
        <w:rPr>
          <w:rFonts w:ascii="Times New Roman" w:hAnsi="Times New Roman"/>
        </w:rPr>
        <w:t xml:space="preserve">the IE </w:t>
      </w:r>
      <w:r w:rsidR="00A129AB" w:rsidRPr="00522431">
        <w:rPr>
          <w:rFonts w:ascii="Times New Roman" w:hAnsi="Times New Roman"/>
          <w:i/>
        </w:rPr>
        <w:t>SlotFormatIndicator</w:t>
      </w:r>
      <w:r w:rsidR="00A129AB">
        <w:rPr>
          <w:rFonts w:ascii="Times New Roman" w:hAnsi="Times New Roman"/>
        </w:rPr>
        <w:t>, UE</w:t>
      </w:r>
      <w:r>
        <w:rPr>
          <w:rFonts w:ascii="Times New Roman" w:hAnsi="Times New Roman"/>
        </w:rPr>
        <w:t xml:space="preserve"> will maintain a serving cell list corresponding to a list of </w:t>
      </w:r>
      <w:r w:rsidRPr="00537EC8">
        <w:rPr>
          <w:rFonts w:ascii="Times New Roman" w:hAnsi="Times New Roman"/>
          <w:i/>
        </w:rPr>
        <w:t>SlotFormatCombinationsPerCell</w:t>
      </w:r>
      <w:r w:rsidR="00A129AB">
        <w:rPr>
          <w:rFonts w:ascii="Times New Roman" w:hAnsi="Times New Roman"/>
        </w:rPr>
        <w:t>. For these serving cells in the list, UE could</w:t>
      </w:r>
      <w:r>
        <w:rPr>
          <w:rFonts w:ascii="Times New Roman" w:hAnsi="Times New Roman"/>
        </w:rPr>
        <w:t xml:space="preserve"> read SFI information from DCI 2_0. </w:t>
      </w:r>
      <w:r w:rsidRPr="00537EC8">
        <w:rPr>
          <w:rFonts w:ascii="Times New Roman" w:hAnsi="Times New Roman"/>
          <w:i/>
        </w:rPr>
        <w:t xml:space="preserve">  </w:t>
      </w:r>
      <w:r w:rsidR="00266482">
        <w:rPr>
          <w:rFonts w:ascii="Times New Roman" w:hAnsi="Times New Roman"/>
        </w:rPr>
        <w:t>Clearly</w:t>
      </w:r>
      <w:r w:rsidR="00A129AB">
        <w:rPr>
          <w:rFonts w:ascii="Times New Roman" w:hAnsi="Times New Roman"/>
        </w:rPr>
        <w:t xml:space="preserve"> from the above IE description</w:t>
      </w:r>
      <w:r w:rsidR="00266482">
        <w:rPr>
          <w:rFonts w:ascii="Times New Roman" w:hAnsi="Times New Roman"/>
        </w:rPr>
        <w:t xml:space="preserve">, </w:t>
      </w:r>
      <w:r w:rsidR="00266482" w:rsidRPr="00266482">
        <w:rPr>
          <w:rFonts w:ascii="Times New Roman" w:hAnsi="Times New Roman"/>
          <w:i/>
        </w:rPr>
        <w:t>SlotFormatCombinationsPerCell</w:t>
      </w:r>
      <w:r w:rsidR="00266482">
        <w:rPr>
          <w:rFonts w:ascii="Times New Roman" w:hAnsi="Times New Roman"/>
        </w:rPr>
        <w:t xml:space="preserve"> is optionally configured </w:t>
      </w:r>
      <w:r>
        <w:rPr>
          <w:rFonts w:ascii="Times New Roman" w:hAnsi="Times New Roman"/>
        </w:rPr>
        <w:t>and operated by</w:t>
      </w:r>
      <w:r w:rsidR="00266482">
        <w:rPr>
          <w:rFonts w:ascii="Times New Roman" w:hAnsi="Times New Roman"/>
        </w:rPr>
        <w:t xml:space="preserve"> adding</w:t>
      </w:r>
      <w:r>
        <w:rPr>
          <w:rFonts w:ascii="Times New Roman" w:hAnsi="Times New Roman"/>
        </w:rPr>
        <w:t>/</w:t>
      </w:r>
      <w:r w:rsidR="00266482">
        <w:rPr>
          <w:rFonts w:ascii="Times New Roman" w:hAnsi="Times New Roman"/>
        </w:rPr>
        <w:t>releasing.</w:t>
      </w:r>
      <w:r w:rsidR="00266482" w:rsidRPr="00266482">
        <w:rPr>
          <w:rFonts w:ascii="Times New Roman" w:hAnsi="Times New Roman" w:hint="eastAsia"/>
        </w:rPr>
        <w:t xml:space="preserve"> T</w:t>
      </w:r>
      <w:r w:rsidR="00266482" w:rsidRPr="00266482">
        <w:rPr>
          <w:rFonts w:ascii="Times New Roman" w:hAnsi="Times New Roman"/>
        </w:rPr>
        <w:t xml:space="preserve">hen </w:t>
      </w:r>
      <w:r w:rsidR="00266482">
        <w:rPr>
          <w:rFonts w:ascii="Times New Roman" w:hAnsi="Times New Roman"/>
        </w:rPr>
        <w:t xml:space="preserve">there will be two cases resulting in </w:t>
      </w:r>
      <w:r w:rsidR="00A129AB">
        <w:rPr>
          <w:rFonts w:ascii="Times New Roman" w:hAnsi="Times New Roman"/>
        </w:rPr>
        <w:t xml:space="preserve">an </w:t>
      </w:r>
      <w:r w:rsidR="00266482">
        <w:rPr>
          <w:rFonts w:ascii="Times New Roman" w:hAnsi="Times New Roman"/>
        </w:rPr>
        <w:t>empty cell list for SFI combination</w:t>
      </w:r>
      <w:r>
        <w:rPr>
          <w:rFonts w:ascii="Times New Roman" w:hAnsi="Times New Roman"/>
        </w:rPr>
        <w:t xml:space="preserve">, i.e. no </w:t>
      </w:r>
      <w:r w:rsidR="00A129AB">
        <w:rPr>
          <w:rFonts w:ascii="Times New Roman" w:hAnsi="Times New Roman"/>
        </w:rPr>
        <w:t xml:space="preserve">any </w:t>
      </w:r>
      <w:r w:rsidRPr="00266482">
        <w:rPr>
          <w:rFonts w:ascii="Times New Roman" w:hAnsi="Times New Roman"/>
          <w:i/>
        </w:rPr>
        <w:t>SlotFormatCombinationsPerCell</w:t>
      </w:r>
      <w:r>
        <w:rPr>
          <w:rFonts w:ascii="Times New Roman" w:hAnsi="Times New Roman"/>
          <w:i/>
        </w:rPr>
        <w:t xml:space="preserve"> </w:t>
      </w:r>
      <w:r>
        <w:rPr>
          <w:rFonts w:ascii="Times New Roman" w:hAnsi="Times New Roman"/>
        </w:rPr>
        <w:t>is configured</w:t>
      </w:r>
      <w:r w:rsidR="00266482">
        <w:rPr>
          <w:rFonts w:ascii="Times New Roman" w:hAnsi="Times New Roman"/>
        </w:rPr>
        <w:t xml:space="preserve">. In one case, </w:t>
      </w:r>
      <w:r w:rsidR="00266482" w:rsidRPr="00266482">
        <w:rPr>
          <w:rFonts w:ascii="Times New Roman" w:hAnsi="Times New Roman"/>
          <w:i/>
        </w:rPr>
        <w:t>SlotFormatIndicator</w:t>
      </w:r>
      <w:r w:rsidR="00266482">
        <w:rPr>
          <w:rFonts w:ascii="Times New Roman" w:hAnsi="Times New Roman"/>
          <w:i/>
        </w:rPr>
        <w:t xml:space="preserve"> </w:t>
      </w:r>
      <w:r w:rsidR="00266482">
        <w:rPr>
          <w:rFonts w:ascii="Times New Roman" w:hAnsi="Times New Roman"/>
        </w:rPr>
        <w:t xml:space="preserve">is configured but </w:t>
      </w:r>
      <w:r w:rsidR="00266482" w:rsidRPr="00266482">
        <w:rPr>
          <w:rFonts w:ascii="Times New Roman" w:hAnsi="Times New Roman"/>
          <w:i/>
        </w:rPr>
        <w:t>slotFormatCombToAddModList</w:t>
      </w:r>
      <w:r w:rsidR="00266482">
        <w:rPr>
          <w:rFonts w:ascii="Times New Roman" w:hAnsi="Times New Roman"/>
          <w:i/>
        </w:rPr>
        <w:t xml:space="preserve"> </w:t>
      </w:r>
      <w:r w:rsidR="00266482">
        <w:rPr>
          <w:rFonts w:ascii="Times New Roman" w:hAnsi="Times New Roman"/>
        </w:rPr>
        <w:t xml:space="preserve">and </w:t>
      </w:r>
      <w:r w:rsidR="00266482" w:rsidRPr="00266482">
        <w:rPr>
          <w:rFonts w:ascii="Times New Roman" w:hAnsi="Times New Roman"/>
          <w:i/>
        </w:rPr>
        <w:t>slotFormatCombToReleaseList</w:t>
      </w:r>
      <w:r w:rsidR="00266482">
        <w:rPr>
          <w:rFonts w:ascii="Times New Roman" w:hAnsi="Times New Roman"/>
          <w:i/>
        </w:rPr>
        <w:t xml:space="preserve"> </w:t>
      </w:r>
      <w:r w:rsidR="00266482">
        <w:rPr>
          <w:rFonts w:ascii="Times New Roman" w:hAnsi="Times New Roman"/>
        </w:rPr>
        <w:t xml:space="preserve">are not configured. In the other case, one or more serving cells are configured by </w:t>
      </w:r>
      <w:r w:rsidR="00266482" w:rsidRPr="00266482">
        <w:rPr>
          <w:rFonts w:ascii="Times New Roman" w:hAnsi="Times New Roman"/>
          <w:i/>
        </w:rPr>
        <w:t>slotFormatCombToAddModList</w:t>
      </w:r>
      <w:r>
        <w:rPr>
          <w:rFonts w:ascii="Times New Roman" w:hAnsi="Times New Roman"/>
        </w:rPr>
        <w:t xml:space="preserve"> in RRC configuration first and then they are all released by </w:t>
      </w:r>
      <w:r w:rsidRPr="00266482">
        <w:rPr>
          <w:rFonts w:ascii="Times New Roman" w:hAnsi="Times New Roman"/>
          <w:i/>
        </w:rPr>
        <w:t>slotFormatCombToReleaseList</w:t>
      </w:r>
      <w:r>
        <w:rPr>
          <w:rFonts w:ascii="Times New Roman" w:hAnsi="Times New Roman"/>
        </w:rPr>
        <w:t xml:space="preserve"> in RRC re-configuration. </w:t>
      </w:r>
      <w:r w:rsidR="00A129AB">
        <w:rPr>
          <w:rFonts w:ascii="Times New Roman" w:hAnsi="Times New Roman"/>
        </w:rPr>
        <w:t xml:space="preserve">In both the above cases, UE couldn’t obtain any information from DCI 2_0 and it is </w:t>
      </w:r>
      <w:r w:rsidR="00867F04">
        <w:rPr>
          <w:rFonts w:ascii="Times New Roman" w:hAnsi="Times New Roman"/>
        </w:rPr>
        <w:t xml:space="preserve">not quite clear whether UE should monitor the </w:t>
      </w:r>
      <w:r w:rsidR="008C2071">
        <w:rPr>
          <w:rFonts w:ascii="Times New Roman" w:hAnsi="Times New Roman"/>
        </w:rPr>
        <w:t>GC-</w:t>
      </w:r>
      <w:r w:rsidR="00867F04">
        <w:rPr>
          <w:rFonts w:ascii="Times New Roman" w:hAnsi="Times New Roman"/>
        </w:rPr>
        <w:t>PDCCH in this specific case.</w:t>
      </w:r>
    </w:p>
    <w:p w14:paraId="7B255D8A" w14:textId="09583141" w:rsidR="00867F04" w:rsidRDefault="00867F04" w:rsidP="008C2071">
      <w:pPr>
        <w:spacing w:before="120" w:after="120"/>
        <w:jc w:val="both"/>
        <w:rPr>
          <w:rFonts w:ascii="Times New Roman" w:hAnsi="Times New Roman"/>
          <w:b/>
        </w:rPr>
      </w:pPr>
      <w:bookmarkStart w:id="6" w:name="_Ref32412110"/>
      <w:bookmarkStart w:id="7" w:name="_Ref37263566"/>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D147B9">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 xml:space="preserve">: </w:t>
      </w:r>
      <w:bookmarkEnd w:id="6"/>
      <w:r>
        <w:rPr>
          <w:rFonts w:ascii="Times New Roman" w:hAnsi="Times New Roman"/>
          <w:b/>
        </w:rPr>
        <w:t>It needs to be clarified in RAN1 that whether UE should monitor the PDCCH for DCI 2_0 if higher layer parameter</w:t>
      </w:r>
      <w:r w:rsidR="008C2071">
        <w:rPr>
          <w:rFonts w:ascii="Times New Roman" w:hAnsi="Times New Roman"/>
          <w:b/>
        </w:rPr>
        <w:t xml:space="preserve"> </w:t>
      </w:r>
      <w:r w:rsidR="008C2071" w:rsidRPr="008C2071">
        <w:rPr>
          <w:rFonts w:ascii="Times New Roman" w:hAnsi="Times New Roman"/>
          <w:b/>
          <w:i/>
        </w:rPr>
        <w:t>SlotFormatIndicator</w:t>
      </w:r>
      <w:r w:rsidR="008C2071">
        <w:rPr>
          <w:rFonts w:ascii="Times New Roman" w:hAnsi="Times New Roman"/>
          <w:i/>
        </w:rPr>
        <w:t xml:space="preserve"> </w:t>
      </w:r>
      <w:r w:rsidR="008C2071" w:rsidRPr="008C2071">
        <w:rPr>
          <w:rFonts w:ascii="Times New Roman" w:hAnsi="Times New Roman"/>
          <w:b/>
        </w:rPr>
        <w:t xml:space="preserve">is configured </w:t>
      </w:r>
      <w:r w:rsidR="008C2071">
        <w:rPr>
          <w:rFonts w:ascii="Times New Roman" w:hAnsi="Times New Roman"/>
          <w:b/>
        </w:rPr>
        <w:t xml:space="preserve">but </w:t>
      </w:r>
      <w:r w:rsidR="008C2071" w:rsidRPr="008C2071">
        <w:rPr>
          <w:rFonts w:ascii="Times New Roman" w:hAnsi="Times New Roman"/>
          <w:b/>
        </w:rPr>
        <w:t xml:space="preserve">no any </w:t>
      </w:r>
      <w:r w:rsidR="008C2071" w:rsidRPr="008C2071">
        <w:rPr>
          <w:rFonts w:ascii="Times New Roman" w:hAnsi="Times New Roman"/>
          <w:b/>
          <w:i/>
        </w:rPr>
        <w:t>SlotFormatCombinationsPerCell</w:t>
      </w:r>
      <w:r w:rsidR="008C2071" w:rsidRPr="008C2071">
        <w:rPr>
          <w:rFonts w:ascii="Times New Roman" w:hAnsi="Times New Roman"/>
          <w:b/>
        </w:rPr>
        <w:t xml:space="preserve"> is configured</w:t>
      </w:r>
      <w:r w:rsidR="008C2071">
        <w:rPr>
          <w:rFonts w:ascii="Times New Roman" w:hAnsi="Times New Roman"/>
          <w:b/>
        </w:rPr>
        <w:t>.</w:t>
      </w:r>
      <w:bookmarkEnd w:id="7"/>
    </w:p>
    <w:p w14:paraId="1F56489F" w14:textId="161FE318" w:rsidR="008C2071" w:rsidRDefault="008C2071" w:rsidP="008C2071">
      <w:pPr>
        <w:spacing w:before="120" w:after="120"/>
        <w:jc w:val="both"/>
        <w:rPr>
          <w:rFonts w:ascii="Times New Roman" w:hAnsi="Times New Roman"/>
        </w:rPr>
      </w:pPr>
      <w:r w:rsidRPr="008C2071">
        <w:rPr>
          <w:rFonts w:ascii="Times New Roman" w:hAnsi="Times New Roman" w:hint="eastAsia"/>
        </w:rPr>
        <w:t>I</w:t>
      </w:r>
      <w:r w:rsidRPr="008C2071">
        <w:rPr>
          <w:rFonts w:ascii="Times New Roman" w:hAnsi="Times New Roman"/>
        </w:rPr>
        <w:t xml:space="preserve">f </w:t>
      </w:r>
      <w:r>
        <w:rPr>
          <w:rFonts w:ascii="Times New Roman" w:hAnsi="Times New Roman"/>
        </w:rPr>
        <w:t xml:space="preserve">UE should monitor GC-PDCCH for DCI 2_0 in this case, it is really a waste since UE couldn’t obtain any information from the DCI 2_0, i.e. all padding bits from this UE side. In addition, this DCI size/PDCCH candidate/CCE budget is occupied by this useless GC-PDCCH monitoring. </w:t>
      </w:r>
    </w:p>
    <w:p w14:paraId="18CF8069" w14:textId="23C3CBF5" w:rsidR="008C2071" w:rsidRDefault="008C2071" w:rsidP="008C207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need to monitor GC-PDCCH for DCI 2_0 in this case, </w:t>
      </w:r>
      <w:r w:rsidR="00886DA5">
        <w:rPr>
          <w:rFonts w:ascii="Times New Roman" w:eastAsiaTheme="minorEastAsia" w:hAnsi="Times New Roman"/>
          <w:lang w:eastAsia="zh-CN"/>
        </w:rPr>
        <w:t>some spec changes are needed to make the UE behavior clearer in both TS 38.212 and TS 38.213.</w:t>
      </w:r>
    </w:p>
    <w:p w14:paraId="7043E540" w14:textId="0526B249" w:rsidR="00886DA5" w:rsidRDefault="00886DA5" w:rsidP="00886DA5">
      <w:pPr>
        <w:spacing w:before="120" w:after="120"/>
        <w:jc w:val="both"/>
        <w:rPr>
          <w:rFonts w:ascii="Times New Roman" w:hAnsi="Times New Roman"/>
          <w:b/>
        </w:rPr>
      </w:pPr>
      <w:bookmarkStart w:id="8" w:name="_Ref37263574"/>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D147B9">
        <w:rPr>
          <w:rFonts w:ascii="Times New Roman" w:hAnsi="Times New Roman"/>
          <w:b/>
          <w:noProof/>
        </w:rPr>
        <w:t>2</w:t>
      </w:r>
      <w:r w:rsidRPr="000F4BB5">
        <w:rPr>
          <w:rFonts w:ascii="Times New Roman" w:hAnsi="Times New Roman"/>
          <w:b/>
        </w:rPr>
        <w:fldChar w:fldCharType="end"/>
      </w:r>
      <w:r w:rsidRPr="00503F05">
        <w:rPr>
          <w:rFonts w:ascii="Times New Roman" w:hAnsi="Times New Roman"/>
          <w:b/>
        </w:rPr>
        <w:t xml:space="preserve">: </w:t>
      </w:r>
      <w:r w:rsidR="00CE1143">
        <w:rPr>
          <w:rFonts w:ascii="Times New Roman" w:hAnsi="Times New Roman"/>
          <w:b/>
        </w:rPr>
        <w:t xml:space="preserve">If UE doesn’t need to monitor GC-PDCCH for DCI 2_0 when </w:t>
      </w:r>
      <w:r w:rsidR="00CE1143" w:rsidRPr="007845C9">
        <w:rPr>
          <w:rFonts w:ascii="Times New Roman" w:hAnsi="Times New Roman"/>
          <w:b/>
          <w:i/>
        </w:rPr>
        <w:t>SlotFormatCombinationsPerCell</w:t>
      </w:r>
      <w:r w:rsidR="00CE1143">
        <w:rPr>
          <w:rFonts w:ascii="Times New Roman" w:hAnsi="Times New Roman"/>
          <w:b/>
        </w:rPr>
        <w:t xml:space="preserve"> is not </w:t>
      </w:r>
      <w:r w:rsidR="007845C9">
        <w:rPr>
          <w:rFonts w:ascii="Times New Roman" w:hAnsi="Times New Roman"/>
          <w:b/>
        </w:rPr>
        <w:t>configured, RAN</w:t>
      </w:r>
      <w:r>
        <w:rPr>
          <w:rFonts w:ascii="Times New Roman" w:hAnsi="Times New Roman"/>
          <w:b/>
        </w:rPr>
        <w:t xml:space="preserve">1 adopts the following TP1 in </w:t>
      </w:r>
      <w:r w:rsidR="00CE1143" w:rsidRPr="00CE1143">
        <w:rPr>
          <w:rFonts w:ascii="Times New Roman" w:hAnsi="Times New Roman"/>
          <w:b/>
        </w:rPr>
        <w:t>TS 38.21</w:t>
      </w:r>
      <w:r w:rsidR="007845C9">
        <w:rPr>
          <w:rFonts w:ascii="Times New Roman" w:hAnsi="Times New Roman"/>
          <w:b/>
        </w:rPr>
        <w:t>3</w:t>
      </w:r>
      <w:r w:rsidR="00CB14F1">
        <w:rPr>
          <w:rFonts w:ascii="Times New Roman" w:hAnsi="Times New Roman"/>
          <w:b/>
        </w:rPr>
        <w:t xml:space="preserve"> </w:t>
      </w:r>
      <w:r w:rsidR="00CB14F1">
        <w:rPr>
          <w:rFonts w:ascii="Times New Roman" w:hAnsi="Times New Roman"/>
          <w:b/>
        </w:rPr>
        <w:fldChar w:fldCharType="begin"/>
      </w:r>
      <w:r w:rsidR="00CB14F1">
        <w:rPr>
          <w:rFonts w:ascii="Times New Roman" w:hAnsi="Times New Roman"/>
          <w:b/>
        </w:rPr>
        <w:instrText xml:space="preserve"> REF _Ref37264654 \r \h </w:instrText>
      </w:r>
      <w:r w:rsidR="00CB14F1">
        <w:rPr>
          <w:rFonts w:ascii="Times New Roman" w:hAnsi="Times New Roman"/>
          <w:b/>
        </w:rPr>
      </w:r>
      <w:r w:rsidR="00CB14F1">
        <w:rPr>
          <w:rFonts w:ascii="Times New Roman" w:hAnsi="Times New Roman"/>
          <w:b/>
        </w:rPr>
        <w:fldChar w:fldCharType="separate"/>
      </w:r>
      <w:r w:rsidR="00D147B9">
        <w:rPr>
          <w:rFonts w:ascii="Times New Roman" w:hAnsi="Times New Roman"/>
          <w:b/>
        </w:rPr>
        <w:t>[2]</w:t>
      </w:r>
      <w:r w:rsidR="00CB14F1">
        <w:rPr>
          <w:rFonts w:ascii="Times New Roman" w:hAnsi="Times New Roman"/>
          <w:b/>
        </w:rPr>
        <w:fldChar w:fldCharType="end"/>
      </w:r>
      <w:r w:rsidR="007845C9">
        <w:rPr>
          <w:rFonts w:ascii="Times New Roman" w:hAnsi="Times New Roman"/>
          <w:b/>
        </w:rPr>
        <w:t xml:space="preserve"> and TP2 in TS 38.212</w:t>
      </w:r>
      <w:r w:rsidR="00D147B9">
        <w:rPr>
          <w:rFonts w:ascii="Times New Roman" w:hAnsi="Times New Roman"/>
          <w:b/>
        </w:rPr>
        <w:t xml:space="preserve"> </w:t>
      </w:r>
      <w:r w:rsidR="00D147B9">
        <w:rPr>
          <w:rFonts w:ascii="Times New Roman" w:hAnsi="Times New Roman"/>
          <w:b/>
        </w:rPr>
        <w:fldChar w:fldCharType="begin"/>
      </w:r>
      <w:r w:rsidR="00D147B9">
        <w:rPr>
          <w:rFonts w:ascii="Times New Roman" w:hAnsi="Times New Roman"/>
          <w:b/>
        </w:rPr>
        <w:instrText xml:space="preserve"> REF _Ref37264706 \r \h </w:instrText>
      </w:r>
      <w:r w:rsidR="00D147B9">
        <w:rPr>
          <w:rFonts w:ascii="Times New Roman" w:hAnsi="Times New Roman"/>
          <w:b/>
        </w:rPr>
      </w:r>
      <w:r w:rsidR="00D147B9">
        <w:rPr>
          <w:rFonts w:ascii="Times New Roman" w:hAnsi="Times New Roman"/>
          <w:b/>
        </w:rPr>
        <w:fldChar w:fldCharType="separate"/>
      </w:r>
      <w:r w:rsidR="00D147B9">
        <w:rPr>
          <w:rFonts w:ascii="Times New Roman" w:hAnsi="Times New Roman"/>
          <w:b/>
        </w:rPr>
        <w:t>[3]</w:t>
      </w:r>
      <w:r w:rsidR="00D147B9">
        <w:rPr>
          <w:rFonts w:ascii="Times New Roman" w:hAnsi="Times New Roman"/>
          <w:b/>
        </w:rPr>
        <w:fldChar w:fldCharType="end"/>
      </w:r>
      <w:r w:rsidR="00CE1143">
        <w:rPr>
          <w:rFonts w:ascii="Times New Roman" w:hAnsi="Times New Roman"/>
          <w:b/>
        </w:rPr>
        <w:t>.</w:t>
      </w:r>
      <w:bookmarkEnd w:id="8"/>
    </w:p>
    <w:p w14:paraId="252AA120" w14:textId="2D20B577" w:rsidR="007845C9" w:rsidRPr="00537EC8" w:rsidRDefault="007845C9" w:rsidP="007845C9">
      <w:pPr>
        <w:spacing w:before="120" w:after="120"/>
        <w:jc w:val="both"/>
        <w:rPr>
          <w:rFonts w:ascii="Times New Roman" w:hAnsi="Times New Roman"/>
        </w:rPr>
      </w:pPr>
      <w:r>
        <w:t>-------------------------------------TP1: Start TP for Section 10.1 of TS 38.213 ----------------------------------------</w:t>
      </w:r>
    </w:p>
    <w:p w14:paraId="6F741D37" w14:textId="77777777" w:rsidR="007845C9" w:rsidRDefault="007845C9" w:rsidP="007845C9">
      <w:pPr>
        <w:spacing w:afterLines="50" w:after="120"/>
        <w:rPr>
          <w:rFonts w:ascii="Times New Roman" w:hAnsi="Times New Roman"/>
        </w:rPr>
      </w:pPr>
      <w:r w:rsidRPr="00CE1143">
        <w:rPr>
          <w:rFonts w:ascii="Times New Roman" w:hAnsi="Times New Roman"/>
        </w:rPr>
        <w:t xml:space="preserve">If a UE is not provided </w:t>
      </w:r>
      <w:r w:rsidRPr="00CE1143">
        <w:rPr>
          <w:rFonts w:ascii="Times New Roman" w:hAnsi="Times New Roman"/>
          <w:i/>
        </w:rPr>
        <w:t>pagingSearchSpace</w:t>
      </w:r>
      <w:r w:rsidRPr="00CE1143">
        <w:rPr>
          <w:rFonts w:ascii="Times New Roman" w:hAnsi="Times New Roman"/>
        </w:rPr>
        <w:t xml:space="preserve"> for Type2-PDCCH CSS set, the UE does not monitor PDCCH for Type2-PDCCH CSS set on the DL BWP. The CCE aggregation levels and </w:t>
      </w:r>
      <w:r w:rsidRPr="00CE1143">
        <w:rPr>
          <w:rFonts w:ascii="Times New Roman" w:hAnsi="Times New Roman"/>
          <w:lang w:eastAsia="ko-KR"/>
        </w:rPr>
        <w:t xml:space="preserve">the </w:t>
      </w:r>
      <w:r w:rsidRPr="00CE1143">
        <w:rPr>
          <w:rFonts w:ascii="Times New Roman" w:hAnsi="Times New Roman"/>
        </w:rPr>
        <w:t xml:space="preserve">number of PDCCH candidates per CCE aggregation level for Type2-PDCCH CSS set </w:t>
      </w:r>
      <w:r w:rsidRPr="00CE1143">
        <w:rPr>
          <w:rFonts w:ascii="Times New Roman" w:hAnsi="Times New Roman"/>
          <w:lang w:eastAsia="ko-KR"/>
        </w:rPr>
        <w:t xml:space="preserve">are </w:t>
      </w:r>
      <w:r w:rsidRPr="00CE1143">
        <w:rPr>
          <w:rFonts w:ascii="Times New Roman" w:hAnsi="Times New Roman"/>
        </w:rPr>
        <w:t>given in Table 10.1-1.</w:t>
      </w:r>
    </w:p>
    <w:p w14:paraId="5491C9F4" w14:textId="77777777" w:rsidR="007845C9" w:rsidRPr="00CE1143" w:rsidRDefault="007845C9" w:rsidP="007845C9">
      <w:pPr>
        <w:spacing w:afterLines="50" w:after="120"/>
        <w:rPr>
          <w:rFonts w:ascii="Times New Roman" w:eastAsiaTheme="minorEastAsia" w:hAnsi="Times New Roman"/>
          <w:lang w:eastAsia="zh-CN"/>
        </w:rPr>
      </w:pPr>
      <w:r w:rsidRPr="00CE1143">
        <w:rPr>
          <w:rFonts w:ascii="Times New Roman" w:hAnsi="Times New Roman" w:hint="eastAsia"/>
          <w:color w:val="FF0000"/>
          <w:sz w:val="18"/>
          <w:u w:val="single"/>
        </w:rPr>
        <w:t>I</w:t>
      </w:r>
      <w:r w:rsidRPr="00CE1143">
        <w:rPr>
          <w:rFonts w:ascii="Times New Roman" w:hAnsi="Times New Roman"/>
          <w:color w:val="FF0000"/>
          <w:sz w:val="18"/>
          <w:u w:val="single"/>
        </w:rPr>
        <w:t xml:space="preserve">f a UE is not configured with any </w:t>
      </w:r>
      <w:r w:rsidRPr="00CE1143">
        <w:rPr>
          <w:rFonts w:ascii="Times New Roman" w:hAnsi="Times New Roman"/>
          <w:i/>
          <w:color w:val="FF0000"/>
          <w:sz w:val="18"/>
          <w:u w:val="single"/>
        </w:rPr>
        <w:t xml:space="preserve">SlotFormatCombinationsPerCell, </w:t>
      </w:r>
      <w:r w:rsidRPr="00CE1143">
        <w:rPr>
          <w:rFonts w:ascii="Times New Roman" w:hAnsi="Times New Roman"/>
          <w:color w:val="FF0000"/>
          <w:sz w:val="18"/>
          <w:u w:val="single"/>
        </w:rPr>
        <w:t>the UE does not monitor PDCCH scrambled by SFI-RNTI for Type3-PDCCH CSS set on the DL BWP.</w:t>
      </w:r>
    </w:p>
    <w:p w14:paraId="77FD82F5" w14:textId="3DC2AFEA" w:rsidR="007845C9" w:rsidRDefault="007845C9" w:rsidP="007845C9">
      <w:pPr>
        <w:spacing w:afterLines="50" w:after="120"/>
        <w:rPr>
          <w:rFonts w:ascii="Times New Roman" w:hAnsi="Times New Roman"/>
        </w:rPr>
      </w:pPr>
      <w:r w:rsidRPr="00CE1143">
        <w:rPr>
          <w:rFonts w:ascii="Times New Roman" w:hAnsi="Times New Roman"/>
        </w:rPr>
        <w:t xml:space="preserve">If a UE is provided a zero value for </w:t>
      </w:r>
      <w:r w:rsidRPr="00CE1143">
        <w:rPr>
          <w:rFonts w:ascii="Times New Roman" w:hAnsi="Times New Roman"/>
          <w:i/>
          <w:iCs/>
          <w:lang w:eastAsia="x-none"/>
        </w:rPr>
        <w:t>searchSpaceID</w:t>
      </w:r>
      <w:r w:rsidRPr="00CE1143">
        <w:rPr>
          <w:rFonts w:ascii="Times New Roman" w:hAnsi="Times New Roman"/>
          <w:iCs/>
          <w:lang w:eastAsia="x-none"/>
        </w:rPr>
        <w:t xml:space="preserve"> in </w:t>
      </w:r>
      <w:r w:rsidRPr="00CE1143">
        <w:rPr>
          <w:rFonts w:ascii="Times New Roman" w:hAnsi="Times New Roman"/>
          <w:i/>
        </w:rPr>
        <w:t>PDCCH-ConfigCommon</w:t>
      </w:r>
      <w:r w:rsidRPr="00CE1143">
        <w:rPr>
          <w:rFonts w:ascii="Times New Roman" w:hAnsi="Times New Roman"/>
        </w:rPr>
        <w:t xml:space="preserve"> </w:t>
      </w:r>
      <w:r w:rsidRPr="00CE1143">
        <w:rPr>
          <w:rFonts w:ascii="Times New Roman" w:hAnsi="Times New Roman"/>
          <w:iCs/>
          <w:lang w:eastAsia="x-none"/>
        </w:rPr>
        <w:t>for</w:t>
      </w:r>
      <w:r w:rsidRPr="00CE1143">
        <w:rPr>
          <w:rFonts w:ascii="Times New Roman" w:hAnsi="Times New Roman"/>
        </w:rPr>
        <w:t xml:space="preserve"> a Type0/0A/2-PDCCH CSS set, the UE determines monitoring occasions for PDCCH candidates of the Type0/0A/2-PDCCH CSS set as described in Subclause 13, and the UE is provided a C-RNTI, the UE monitors PDCCH candidates only at monitoring occasions associated with a SS/PBCH block, where the SS/PBCH block is determined by the most recent of </w:t>
      </w:r>
    </w:p>
    <w:p w14:paraId="6051B72B" w14:textId="77777777" w:rsidR="007845C9" w:rsidRPr="007845C9" w:rsidRDefault="007845C9" w:rsidP="007845C9">
      <w:pPr>
        <w:pStyle w:val="B10"/>
        <w:rPr>
          <w:rFonts w:ascii="Times New Roman" w:hAnsi="Times New Roman"/>
        </w:rPr>
      </w:pPr>
      <w:r w:rsidRPr="007845C9">
        <w:rPr>
          <w:rFonts w:ascii="Times New Roman" w:hAnsi="Times New Roman"/>
        </w:rPr>
        <w:lastRenderedPageBreak/>
        <w:t>-</w:t>
      </w:r>
      <w:r w:rsidRPr="007845C9">
        <w:rPr>
          <w:rFonts w:ascii="Times New Roman" w:hAnsi="Times New Roman"/>
        </w:rPr>
        <w:tab/>
        <w:t>a MAC CE activation command</w:t>
      </w:r>
      <w:r w:rsidRPr="007845C9">
        <w:rPr>
          <w:rFonts w:ascii="Times New Roman" w:hAnsi="Times New Roman"/>
          <w:lang w:val="en-US"/>
        </w:rPr>
        <w:t xml:space="preserve"> indicating a TCI state </w:t>
      </w:r>
      <w:r w:rsidRPr="007845C9">
        <w:rPr>
          <w:rFonts w:ascii="Times New Roman" w:hAnsi="Times New Roman"/>
        </w:rPr>
        <w:t>of the active BWP that includes a CORESET with index 0, as described in [6, TS 38.214], where the TCI-state</w:t>
      </w:r>
      <w:r w:rsidRPr="007845C9">
        <w:rPr>
          <w:rFonts w:ascii="Times New Roman" w:hAnsi="Times New Roman"/>
          <w:lang w:val="en-US"/>
        </w:rPr>
        <w:t xml:space="preserve"> includes a CSI-RS which is quasi-co-located with the SS/PBCH block,</w:t>
      </w:r>
      <w:r w:rsidRPr="007845C9">
        <w:rPr>
          <w:rFonts w:ascii="Times New Roman" w:hAnsi="Times New Roman"/>
        </w:rPr>
        <w:t xml:space="preserve"> or </w:t>
      </w:r>
    </w:p>
    <w:p w14:paraId="70E37022" w14:textId="59079B19" w:rsidR="007845C9" w:rsidRPr="007845C9" w:rsidRDefault="007845C9" w:rsidP="007845C9">
      <w:pPr>
        <w:pStyle w:val="B10"/>
        <w:rPr>
          <w:rFonts w:ascii="Times New Roman" w:hAnsi="Times New Roman"/>
        </w:rPr>
      </w:pPr>
      <w:r w:rsidRPr="007845C9">
        <w:rPr>
          <w:rFonts w:ascii="Times New Roman" w:hAnsi="Times New Roman"/>
        </w:rPr>
        <w:t>-</w:t>
      </w:r>
      <w:r w:rsidRPr="007845C9">
        <w:rPr>
          <w:rFonts w:ascii="Times New Roman" w:hAnsi="Times New Roman"/>
        </w:rPr>
        <w:tab/>
        <w:t>a random access procedure that is not initiated by a PDCCH order that triggers a contention</w:t>
      </w:r>
      <w:r w:rsidRPr="007845C9">
        <w:rPr>
          <w:rFonts w:ascii="Times New Roman" w:hAnsi="Times New Roman"/>
          <w:lang w:val="en-US"/>
        </w:rPr>
        <w:t>-free</w:t>
      </w:r>
      <w:r w:rsidRPr="007845C9">
        <w:rPr>
          <w:rFonts w:ascii="Times New Roman" w:hAnsi="Times New Roman"/>
        </w:rPr>
        <w:t xml:space="preserve"> random-access procedur</w:t>
      </w:r>
      <w:r>
        <w:rPr>
          <w:rFonts w:ascii="Times New Roman" w:hAnsi="Times New Roman"/>
        </w:rPr>
        <w:t>e.</w:t>
      </w:r>
    </w:p>
    <w:p w14:paraId="65CA83AE" w14:textId="147EE8C0" w:rsidR="007845C9" w:rsidRDefault="007845C9" w:rsidP="007845C9">
      <w:pPr>
        <w:spacing w:after="160" w:line="259" w:lineRule="auto"/>
      </w:pPr>
      <w:r>
        <w:t>-------------------------------------TP1: End TP for Section 10.1 of TS 38.213 ----------------------------------------</w:t>
      </w:r>
    </w:p>
    <w:p w14:paraId="503C9C6A" w14:textId="00877113" w:rsidR="00886DA5" w:rsidRDefault="00886DA5" w:rsidP="00886DA5">
      <w:pPr>
        <w:spacing w:after="160" w:line="259" w:lineRule="auto"/>
      </w:pPr>
      <w:r>
        <w:t>-----------------------------------TP</w:t>
      </w:r>
      <w:r w:rsidR="007845C9">
        <w:t>2</w:t>
      </w:r>
      <w:r>
        <w:t>: Start TP for Section 7.3.1.3.1 of TS 38.212 -----------------------------------</w:t>
      </w:r>
    </w:p>
    <w:p w14:paraId="24FE76B5" w14:textId="77777777" w:rsidR="00886DA5" w:rsidRPr="004A0578" w:rsidRDefault="00886DA5" w:rsidP="00886DA5">
      <w:pPr>
        <w:spacing w:afterLines="100" w:after="240"/>
        <w:rPr>
          <w:rFonts w:ascii="Times New Roman" w:hAnsi="Times New Roman"/>
          <w:lang w:eastAsia="zh-CN"/>
        </w:rPr>
      </w:pPr>
      <w:r w:rsidRPr="004A0578">
        <w:rPr>
          <w:rFonts w:ascii="Times New Roman" w:hAnsi="Times New Roman"/>
        </w:rPr>
        <w:t xml:space="preserve">DCI format </w:t>
      </w:r>
      <w:r w:rsidRPr="004A0578">
        <w:rPr>
          <w:rFonts w:ascii="Times New Roman" w:hAnsi="Times New Roman"/>
          <w:lang w:eastAsia="zh-CN"/>
        </w:rPr>
        <w:t>2_0</w:t>
      </w:r>
      <w:r w:rsidRPr="004A0578">
        <w:rPr>
          <w:rFonts w:ascii="Times New Roman" w:hAnsi="Times New Roman"/>
        </w:rPr>
        <w:t xml:space="preserve"> is used for </w:t>
      </w:r>
      <w:r w:rsidRPr="004A0578">
        <w:rPr>
          <w:rFonts w:ascii="Times New Roman" w:hAnsi="Times New Roman"/>
          <w:lang w:eastAsia="zh-CN"/>
        </w:rPr>
        <w:t>notifying the slot format</w:t>
      </w:r>
      <w:r w:rsidRPr="004A0578">
        <w:rPr>
          <w:rFonts w:ascii="Times New Roman" w:hAnsi="Times New Roman"/>
        </w:rPr>
        <w:t xml:space="preserve">. </w:t>
      </w:r>
    </w:p>
    <w:p w14:paraId="511CB593" w14:textId="77777777" w:rsidR="00886DA5" w:rsidRPr="004A0578" w:rsidRDefault="00886DA5" w:rsidP="00886DA5">
      <w:pPr>
        <w:spacing w:afterLines="50" w:after="120"/>
        <w:rPr>
          <w:rFonts w:ascii="Times New Roman" w:hAnsi="Times New Roman"/>
          <w:lang w:eastAsia="zh-CN"/>
        </w:rPr>
      </w:pPr>
      <w:r w:rsidRPr="004A0578">
        <w:rPr>
          <w:rFonts w:ascii="Times New Roman" w:hAnsi="Times New Roman"/>
        </w:rPr>
        <w:t xml:space="preserve">The following information is transmitted by means of the DCI format </w:t>
      </w:r>
      <w:r w:rsidRPr="004A0578">
        <w:rPr>
          <w:rFonts w:ascii="Times New Roman" w:hAnsi="Times New Roman"/>
          <w:lang w:eastAsia="zh-CN"/>
        </w:rPr>
        <w:t>2_0 with CRC scrambled by SFI-RNTI</w:t>
      </w:r>
      <w:r w:rsidRPr="004A0578">
        <w:rPr>
          <w:rFonts w:ascii="Times New Roman" w:hAnsi="Times New Roman"/>
        </w:rPr>
        <w:t>:</w:t>
      </w:r>
    </w:p>
    <w:p w14:paraId="61D3356B" w14:textId="3C40DB67" w:rsidR="004A0578" w:rsidRDefault="00886DA5" w:rsidP="00886DA5">
      <w:pPr>
        <w:pStyle w:val="B10"/>
        <w:rPr>
          <w:rFonts w:ascii="Times New Roman" w:hAnsi="Times New Roman"/>
        </w:rPr>
      </w:pPr>
      <w:r w:rsidRPr="004A0578">
        <w:rPr>
          <w:rFonts w:ascii="Times New Roman" w:hAnsi="Times New Roman"/>
        </w:rPr>
        <w:t>-</w:t>
      </w:r>
      <w:r w:rsidRPr="004A0578">
        <w:rPr>
          <w:rFonts w:ascii="Times New Roman" w:hAnsi="Times New Roman"/>
          <w:lang w:eastAsia="zh-CN"/>
        </w:rPr>
        <w:tab/>
      </w:r>
      <w:r w:rsidR="004A0578" w:rsidRPr="004A0578">
        <w:rPr>
          <w:rFonts w:ascii="Times New Roman" w:hAnsi="Times New Roman"/>
          <w:color w:val="FF0000"/>
          <w:u w:val="single"/>
          <w:lang w:eastAsia="zh-CN"/>
        </w:rPr>
        <w:t xml:space="preserve">If the higher layer parameter </w:t>
      </w:r>
      <w:r w:rsidR="004A0578" w:rsidRPr="00CE1143">
        <w:rPr>
          <w:rFonts w:ascii="Times New Roman" w:hAnsi="Times New Roman"/>
          <w:i/>
          <w:color w:val="FF0000"/>
          <w:sz w:val="18"/>
          <w:u w:val="single"/>
        </w:rPr>
        <w:t>SlotFormatCombinationsPerCell</w:t>
      </w:r>
      <w:r w:rsidR="004A0578" w:rsidRPr="00CE1143">
        <w:rPr>
          <w:rFonts w:ascii="Times New Roman" w:hAnsi="Times New Roman"/>
          <w:i/>
          <w:color w:val="FF0000"/>
          <w:sz w:val="18"/>
          <w:u w:val="single"/>
          <w:lang w:eastAsia="zh-CN"/>
        </w:rPr>
        <w:t xml:space="preserve"> </w:t>
      </w:r>
      <w:r w:rsidR="004A0578" w:rsidRPr="004A0578">
        <w:rPr>
          <w:rFonts w:ascii="Times New Roman" w:hAnsi="Times New Roman"/>
          <w:color w:val="FF0000"/>
          <w:sz w:val="18"/>
          <w:u w:val="single"/>
          <w:lang w:eastAsia="zh-CN"/>
        </w:rPr>
        <w:t>is c</w:t>
      </w:r>
      <w:r w:rsidR="004A0578" w:rsidRPr="004A0578">
        <w:rPr>
          <w:rFonts w:ascii="Times New Roman" w:hAnsi="Times New Roman"/>
          <w:color w:val="FF0000"/>
          <w:u w:val="single"/>
          <w:lang w:eastAsia="zh-CN"/>
        </w:rPr>
        <w:t>onfigured,</w:t>
      </w:r>
    </w:p>
    <w:p w14:paraId="556EAE9B" w14:textId="666F7B54" w:rsidR="00886DA5" w:rsidRPr="004A0578" w:rsidRDefault="004A0578" w:rsidP="004A0578">
      <w:pPr>
        <w:pStyle w:val="B10"/>
        <w:ind w:firstLine="0"/>
        <w:rPr>
          <w:rFonts w:ascii="Times New Roman" w:hAnsi="Times New Roman"/>
          <w:lang w:eastAsia="zh-CN"/>
        </w:rPr>
      </w:pPr>
      <w:r>
        <w:rPr>
          <w:rFonts w:ascii="Times New Roman" w:hAnsi="Times New Roman"/>
          <w:lang w:eastAsia="zh-CN"/>
        </w:rPr>
        <w:t xml:space="preserve">-    </w:t>
      </w:r>
      <w:r w:rsidR="00886DA5" w:rsidRPr="004A0578">
        <w:rPr>
          <w:rFonts w:ascii="Times New Roman" w:hAnsi="Times New Roman"/>
          <w:lang w:eastAsia="zh-CN"/>
        </w:rPr>
        <w:t xml:space="preserve">Slot format indicator 1, Slot format indicator 2, …, Slot format indicator </w:t>
      </w:r>
      <w:r w:rsidR="00886DA5" w:rsidRPr="004A0578">
        <w:rPr>
          <w:rFonts w:ascii="Times New Roman" w:hAnsi="Times New Roman"/>
          <w:i/>
          <w:lang w:eastAsia="zh-CN"/>
        </w:rPr>
        <w:t>N</w:t>
      </w:r>
      <w:r w:rsidR="00886DA5" w:rsidRPr="004A0578">
        <w:rPr>
          <w:rFonts w:ascii="Times New Roman" w:hAnsi="Times New Roman"/>
        </w:rPr>
        <w:t>.</w:t>
      </w:r>
    </w:p>
    <w:p w14:paraId="52D50281" w14:textId="122D40DC" w:rsidR="00886DA5" w:rsidRPr="004A0578" w:rsidRDefault="00886DA5" w:rsidP="00886DA5">
      <w:pPr>
        <w:spacing w:before="120" w:after="120"/>
        <w:jc w:val="both"/>
        <w:rPr>
          <w:rFonts w:ascii="Times New Roman" w:eastAsia="等线" w:hAnsi="Times New Roman"/>
          <w:szCs w:val="20"/>
        </w:rPr>
      </w:pPr>
      <w:r w:rsidRPr="004A0578">
        <w:rPr>
          <w:rFonts w:ascii="Times New Roman" w:hAnsi="Times New Roman"/>
          <w:lang w:eastAsia="zh-CN"/>
        </w:rPr>
        <w:t>The size of DCI format 2_0 is configurable by higher layers up to 128 bits, according to Subclause 11.1.1 of [5, TS 38.213].</w:t>
      </w:r>
    </w:p>
    <w:p w14:paraId="645F9981" w14:textId="7881568F" w:rsidR="00886DA5" w:rsidRPr="00886DA5" w:rsidRDefault="00886DA5" w:rsidP="00886DA5">
      <w:pPr>
        <w:spacing w:before="120" w:after="120"/>
        <w:jc w:val="both"/>
        <w:rPr>
          <w:rFonts w:ascii="Times New Roman" w:eastAsiaTheme="minorEastAsia" w:hAnsi="Times New Roman"/>
          <w:lang w:eastAsia="zh-CN"/>
        </w:rPr>
      </w:pPr>
      <w:r>
        <w:t>----------------------------------------TP</w:t>
      </w:r>
      <w:r w:rsidR="007845C9">
        <w:t>2</w:t>
      </w:r>
      <w:r>
        <w:t xml:space="preserve">: End TP for </w:t>
      </w:r>
      <w:r w:rsidR="004A0578">
        <w:t>7.3.1.3.1 of TS 38.212 -----</w:t>
      </w:r>
      <w:r>
        <w:t>-------------------------------------</w:t>
      </w:r>
    </w:p>
    <w:bookmarkEnd w:id="1"/>
    <w:bookmarkEnd w:id="2"/>
    <w:bookmarkEnd w:id="4"/>
    <w:bookmarkEnd w:id="5"/>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082BAA5C"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CE1143">
        <w:rPr>
          <w:rFonts w:ascii="Times New Roman" w:eastAsia="宋体" w:hAnsi="Times New Roman"/>
          <w:lang w:eastAsia="zh-CN"/>
        </w:rPr>
        <w:t>the UE behavior with empty list for SFI combination per cell</w:t>
      </w:r>
      <w:r>
        <w:rPr>
          <w:rFonts w:ascii="Times New Roman" w:eastAsia="宋体" w:hAnsi="Times New Roman"/>
          <w:lang w:eastAsia="zh-CN"/>
        </w:rPr>
        <w:t>, and have the following proposals:</w:t>
      </w:r>
    </w:p>
    <w:p w14:paraId="0E333589" w14:textId="7D4147C0" w:rsidR="00CE1143" w:rsidRDefault="007845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_Ref37263566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147B9" w:rsidRPr="000F4BB5">
        <w:rPr>
          <w:rFonts w:ascii="Times New Roman" w:hAnsi="Times New Roman"/>
          <w:b/>
        </w:rPr>
        <w:t xml:space="preserve">Proposal </w:t>
      </w:r>
      <w:r w:rsidR="00D147B9">
        <w:rPr>
          <w:rFonts w:ascii="Times New Roman" w:hAnsi="Times New Roman"/>
          <w:b/>
          <w:noProof/>
        </w:rPr>
        <w:t>1</w:t>
      </w:r>
      <w:r w:rsidR="00D147B9" w:rsidRPr="00503F05">
        <w:rPr>
          <w:rFonts w:ascii="Times New Roman" w:hAnsi="Times New Roman"/>
          <w:b/>
        </w:rPr>
        <w:t xml:space="preserve">: </w:t>
      </w:r>
      <w:r w:rsidR="00D147B9">
        <w:rPr>
          <w:rFonts w:ascii="Times New Roman" w:hAnsi="Times New Roman"/>
          <w:b/>
        </w:rPr>
        <w:t xml:space="preserve">It needs to be clarified in RAN1 that whether UE should monitor the PDCCH for DCI 2_0 if higher layer parameter </w:t>
      </w:r>
      <w:r w:rsidR="00D147B9" w:rsidRPr="008C2071">
        <w:rPr>
          <w:rFonts w:ascii="Times New Roman" w:hAnsi="Times New Roman"/>
          <w:b/>
          <w:i/>
        </w:rPr>
        <w:t>SlotFormatIndicator</w:t>
      </w:r>
      <w:r w:rsidR="00D147B9">
        <w:rPr>
          <w:rFonts w:ascii="Times New Roman" w:hAnsi="Times New Roman"/>
          <w:i/>
        </w:rPr>
        <w:t xml:space="preserve"> </w:t>
      </w:r>
      <w:r w:rsidR="00D147B9" w:rsidRPr="008C2071">
        <w:rPr>
          <w:rFonts w:ascii="Times New Roman" w:hAnsi="Times New Roman"/>
          <w:b/>
        </w:rPr>
        <w:t xml:space="preserve">is configured </w:t>
      </w:r>
      <w:r w:rsidR="00D147B9">
        <w:rPr>
          <w:rFonts w:ascii="Times New Roman" w:hAnsi="Times New Roman"/>
          <w:b/>
        </w:rPr>
        <w:t xml:space="preserve">but </w:t>
      </w:r>
      <w:r w:rsidR="00D147B9" w:rsidRPr="008C2071">
        <w:rPr>
          <w:rFonts w:ascii="Times New Roman" w:hAnsi="Times New Roman"/>
          <w:b/>
        </w:rPr>
        <w:t xml:space="preserve">no any </w:t>
      </w:r>
      <w:r w:rsidR="00D147B9" w:rsidRPr="008C2071">
        <w:rPr>
          <w:rFonts w:ascii="Times New Roman" w:hAnsi="Times New Roman"/>
          <w:b/>
          <w:i/>
        </w:rPr>
        <w:t>SlotFormatCombinationsPerCell</w:t>
      </w:r>
      <w:r w:rsidR="00D147B9" w:rsidRPr="008C2071">
        <w:rPr>
          <w:rFonts w:ascii="Times New Roman" w:hAnsi="Times New Roman"/>
          <w:b/>
        </w:rPr>
        <w:t xml:space="preserve"> is configured</w:t>
      </w:r>
      <w:r w:rsidR="00D147B9">
        <w:rPr>
          <w:rFonts w:ascii="Times New Roman" w:hAnsi="Times New Roman"/>
          <w:b/>
        </w:rPr>
        <w:t>.</w:t>
      </w:r>
      <w:r>
        <w:rPr>
          <w:rFonts w:ascii="Times New Roman" w:eastAsia="宋体" w:hAnsi="Times New Roman"/>
          <w:lang w:eastAsia="zh-CN"/>
        </w:rPr>
        <w:fldChar w:fldCharType="end"/>
      </w:r>
    </w:p>
    <w:p w14:paraId="36239C38" w14:textId="2BCC6D25" w:rsidR="007845C9" w:rsidRDefault="007845C9"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_Ref37263574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147B9" w:rsidRPr="000F4BB5">
        <w:rPr>
          <w:rFonts w:ascii="Times New Roman" w:hAnsi="Times New Roman"/>
          <w:b/>
        </w:rPr>
        <w:t xml:space="preserve">Proposal </w:t>
      </w:r>
      <w:r w:rsidR="00D147B9">
        <w:rPr>
          <w:rFonts w:ascii="Times New Roman" w:hAnsi="Times New Roman"/>
          <w:b/>
          <w:noProof/>
        </w:rPr>
        <w:t>2</w:t>
      </w:r>
      <w:r w:rsidR="00D147B9" w:rsidRPr="00503F05">
        <w:rPr>
          <w:rFonts w:ascii="Times New Roman" w:hAnsi="Times New Roman"/>
          <w:b/>
        </w:rPr>
        <w:t xml:space="preserve">: </w:t>
      </w:r>
      <w:r w:rsidR="00D147B9">
        <w:rPr>
          <w:rFonts w:ascii="Times New Roman" w:hAnsi="Times New Roman"/>
          <w:b/>
        </w:rPr>
        <w:t xml:space="preserve">If UE doesn’t need to monitor GC-PDCCH for DCI 2_0 when </w:t>
      </w:r>
      <w:r w:rsidR="00D147B9" w:rsidRPr="007845C9">
        <w:rPr>
          <w:rFonts w:ascii="Times New Roman" w:hAnsi="Times New Roman"/>
          <w:b/>
          <w:i/>
        </w:rPr>
        <w:t>SlotFormatCombinationsPerCell</w:t>
      </w:r>
      <w:r w:rsidR="00D147B9">
        <w:rPr>
          <w:rFonts w:ascii="Times New Roman" w:hAnsi="Times New Roman"/>
          <w:b/>
        </w:rPr>
        <w:t xml:space="preserve"> is not configured, RAN1 adopts the following TP1 in </w:t>
      </w:r>
      <w:r w:rsidR="00D147B9" w:rsidRPr="00CE1143">
        <w:rPr>
          <w:rFonts w:ascii="Times New Roman" w:hAnsi="Times New Roman"/>
          <w:b/>
        </w:rPr>
        <w:t>TS 38.21</w:t>
      </w:r>
      <w:r w:rsidR="00D147B9">
        <w:rPr>
          <w:rFonts w:ascii="Times New Roman" w:hAnsi="Times New Roman"/>
          <w:b/>
        </w:rPr>
        <w:t>3 [2] and TP2 in TS 38.212 [3].</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4F05667" w14:textId="5D05F769" w:rsidR="00EA655A" w:rsidRPr="00EA655A" w:rsidRDefault="00EA655A" w:rsidP="00EA655A">
      <w:pPr>
        <w:pStyle w:val="a0"/>
        <w:numPr>
          <w:ilvl w:val="0"/>
          <w:numId w:val="58"/>
        </w:numPr>
        <w:rPr>
          <w:rFonts w:ascii="Times New Roman" w:eastAsia="宋体" w:hAnsi="Times New Roman"/>
          <w:lang w:eastAsia="zh-CN"/>
        </w:rPr>
      </w:pPr>
      <w:bookmarkStart w:id="9" w:name="_Ref37264640"/>
      <w:r>
        <w:rPr>
          <w:rFonts w:ascii="Times New Roman" w:eastAsia="宋体" w:hAnsi="Times New Roman" w:hint="eastAsia"/>
          <w:lang w:eastAsia="zh-CN"/>
        </w:rPr>
        <w:t>3</w:t>
      </w:r>
      <w:r>
        <w:rPr>
          <w:rFonts w:ascii="Times New Roman" w:eastAsia="宋体" w:hAnsi="Times New Roman"/>
          <w:lang w:eastAsia="zh-CN"/>
        </w:rPr>
        <w:t>GPP TS 38.331</w:t>
      </w:r>
      <w:r w:rsidR="00CB14F1">
        <w:rPr>
          <w:rFonts w:ascii="Times New Roman" w:eastAsia="宋体" w:hAnsi="Times New Roman"/>
          <w:lang w:eastAsia="zh-CN"/>
        </w:rPr>
        <w:t xml:space="preserve"> Rel-15</w:t>
      </w:r>
      <w:r>
        <w:rPr>
          <w:rFonts w:ascii="Times New Roman" w:eastAsia="宋体" w:hAnsi="Times New Roman"/>
          <w:lang w:eastAsia="zh-CN"/>
        </w:rPr>
        <w:t xml:space="preserve">: </w:t>
      </w:r>
      <w:r w:rsidRPr="00EA655A">
        <w:rPr>
          <w:rFonts w:ascii="Times New Roman" w:hAnsi="Times New Roman"/>
        </w:rPr>
        <w:t>"NR; Radio Resource Control (RRC) protocol specification".</w:t>
      </w:r>
      <w:bookmarkEnd w:id="9"/>
    </w:p>
    <w:p w14:paraId="1B4844F5" w14:textId="52F0B551" w:rsidR="00EA655A" w:rsidRPr="00CB14F1" w:rsidRDefault="00EA655A" w:rsidP="00EA655A">
      <w:pPr>
        <w:pStyle w:val="a0"/>
        <w:numPr>
          <w:ilvl w:val="0"/>
          <w:numId w:val="58"/>
        </w:numPr>
        <w:rPr>
          <w:rFonts w:ascii="Times New Roman" w:eastAsia="宋体" w:hAnsi="Times New Roman"/>
          <w:lang w:eastAsia="zh-CN"/>
        </w:rPr>
      </w:pPr>
      <w:bookmarkStart w:id="10" w:name="_Ref37264654"/>
      <w:r w:rsidRPr="00EA655A">
        <w:rPr>
          <w:rFonts w:ascii="Times New Roman" w:hAnsi="Times New Roman"/>
        </w:rPr>
        <w:t>3GPP TS 38.213</w:t>
      </w:r>
      <w:r w:rsidR="00CB14F1">
        <w:rPr>
          <w:rFonts w:ascii="Times New Roman" w:hAnsi="Times New Roman"/>
        </w:rPr>
        <w:t xml:space="preserve"> Rel-15</w:t>
      </w:r>
      <w:r w:rsidRPr="00EA655A">
        <w:rPr>
          <w:rFonts w:ascii="Times New Roman" w:hAnsi="Times New Roman"/>
        </w:rPr>
        <w:t>: "NR; Physical layer procedures for control".</w:t>
      </w:r>
      <w:bookmarkEnd w:id="10"/>
    </w:p>
    <w:p w14:paraId="7768B771" w14:textId="195C791A" w:rsidR="00CB14F1" w:rsidRPr="00D147B9" w:rsidRDefault="00CB14F1" w:rsidP="00CB14F1">
      <w:pPr>
        <w:pStyle w:val="a0"/>
        <w:numPr>
          <w:ilvl w:val="0"/>
          <w:numId w:val="58"/>
        </w:numPr>
        <w:rPr>
          <w:rFonts w:ascii="Times New Roman" w:eastAsia="宋体" w:hAnsi="Times New Roman"/>
          <w:lang w:eastAsia="zh-CN"/>
        </w:rPr>
      </w:pPr>
      <w:bookmarkStart w:id="11" w:name="_Ref37264706"/>
      <w:r w:rsidRPr="00EA655A">
        <w:rPr>
          <w:rFonts w:ascii="Times New Roman" w:hAnsi="Times New Roman"/>
        </w:rPr>
        <w:t>3GPP TS 38.212</w:t>
      </w:r>
      <w:r>
        <w:rPr>
          <w:rFonts w:ascii="Times New Roman" w:hAnsi="Times New Roman"/>
        </w:rPr>
        <w:t xml:space="preserve"> Rel-15</w:t>
      </w:r>
      <w:r w:rsidRPr="00EA655A">
        <w:rPr>
          <w:rFonts w:ascii="Times New Roman" w:hAnsi="Times New Roman"/>
        </w:rPr>
        <w:t>: "NR; Multiplexing and channel coding".</w:t>
      </w:r>
      <w:bookmarkEnd w:id="11"/>
    </w:p>
    <w:sectPr w:rsidR="00CB14F1" w:rsidRPr="00D147B9"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1AB0B" w14:textId="77777777" w:rsidR="001849CB" w:rsidRDefault="001849CB">
      <w:r>
        <w:separator/>
      </w:r>
    </w:p>
  </w:endnote>
  <w:endnote w:type="continuationSeparator" w:id="0">
    <w:p w14:paraId="4266DFC5" w14:textId="77777777" w:rsidR="001849CB" w:rsidRDefault="0018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F4DBE" w14:textId="77777777" w:rsidR="001849CB" w:rsidRDefault="001849CB">
      <w:r>
        <w:separator/>
      </w:r>
    </w:p>
  </w:footnote>
  <w:footnote w:type="continuationSeparator" w:id="0">
    <w:p w14:paraId="09EF7BA2" w14:textId="77777777" w:rsidR="001849CB" w:rsidRDefault="00184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3"/>
  </w:num>
  <w:num w:numId="3">
    <w:abstractNumId w:val="35"/>
  </w:num>
  <w:num w:numId="4">
    <w:abstractNumId w:val="15"/>
  </w:num>
  <w:num w:numId="5">
    <w:abstractNumId w:val="19"/>
  </w:num>
  <w:num w:numId="6">
    <w:abstractNumId w:val="30"/>
  </w:num>
  <w:num w:numId="7">
    <w:abstractNumId w:val="17"/>
  </w:num>
  <w:num w:numId="8">
    <w:abstractNumId w:val="26"/>
  </w:num>
  <w:num w:numId="9">
    <w:abstractNumId w:val="34"/>
  </w:num>
  <w:num w:numId="10">
    <w:abstractNumId w:val="8"/>
  </w:num>
  <w:num w:numId="11">
    <w:abstractNumId w:val="25"/>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2"/>
  </w:num>
  <w:num w:numId="16">
    <w:abstractNumId w:val="0"/>
  </w:num>
  <w:num w:numId="17">
    <w:abstractNumId w:val="10"/>
  </w:num>
  <w:num w:numId="18">
    <w:abstractNumId w:val="18"/>
  </w:num>
  <w:num w:numId="19">
    <w:abstractNumId w:val="20"/>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6"/>
  </w:num>
  <w:num w:numId="23">
    <w:abstractNumId w:val="11"/>
  </w:num>
  <w:num w:numId="24">
    <w:abstractNumId w:val="38"/>
  </w:num>
  <w:num w:numId="25">
    <w:abstractNumId w:val="16"/>
  </w:num>
  <w:num w:numId="26">
    <w:abstractNumId w:val="2"/>
  </w:num>
  <w:num w:numId="27">
    <w:abstractNumId w:val="28"/>
  </w:num>
  <w:num w:numId="28">
    <w:abstractNumId w:val="22"/>
  </w:num>
  <w:num w:numId="29">
    <w:abstractNumId w:val="4"/>
  </w:num>
  <w:num w:numId="30">
    <w:abstractNumId w:val="14"/>
  </w:num>
  <w:num w:numId="31">
    <w:abstractNumId w:val="37"/>
  </w:num>
  <w:num w:numId="32">
    <w:abstractNumId w:val="21"/>
  </w:num>
  <w:num w:numId="33">
    <w:abstractNumId w:val="7"/>
  </w:num>
  <w:num w:numId="34">
    <w:abstractNumId w:val="33"/>
  </w:num>
  <w:num w:numId="35">
    <w:abstractNumId w:val="38"/>
  </w:num>
  <w:num w:numId="36">
    <w:abstractNumId w:val="40"/>
  </w:num>
  <w:num w:numId="37">
    <w:abstractNumId w:val="38"/>
  </w:num>
  <w:num w:numId="38">
    <w:abstractNumId w:val="38"/>
  </w:num>
  <w:num w:numId="39">
    <w:abstractNumId w:val="38"/>
  </w:num>
  <w:num w:numId="40">
    <w:abstractNumId w:val="38"/>
  </w:num>
  <w:num w:numId="41">
    <w:abstractNumId w:val="38"/>
  </w:num>
  <w:num w:numId="42">
    <w:abstractNumId w:val="38"/>
  </w:num>
  <w:num w:numId="43">
    <w:abstractNumId w:val="29"/>
  </w:num>
  <w:num w:numId="44">
    <w:abstractNumId w:val="24"/>
  </w:num>
  <w:num w:numId="45">
    <w:abstractNumId w:val="13"/>
  </w:num>
  <w:num w:numId="46">
    <w:abstractNumId w:val="9"/>
  </w:num>
  <w:num w:numId="47">
    <w:abstractNumId w:val="31"/>
  </w:num>
  <w:num w:numId="48">
    <w:abstractNumId w:val="38"/>
  </w:num>
  <w:num w:numId="49">
    <w:abstractNumId w:val="38"/>
  </w:num>
  <w:num w:numId="50">
    <w:abstractNumId w:val="38"/>
  </w:num>
  <w:num w:numId="51">
    <w:abstractNumId w:val="41"/>
  </w:num>
  <w:num w:numId="52">
    <w:abstractNumId w:val="38"/>
  </w:num>
  <w:num w:numId="53">
    <w:abstractNumId w:val="3"/>
  </w:num>
  <w:num w:numId="54">
    <w:abstractNumId w:val="32"/>
  </w:num>
  <w:num w:numId="55">
    <w:abstractNumId w:val="38"/>
  </w:num>
  <w:num w:numId="56">
    <w:abstractNumId w:val="38"/>
  </w:num>
  <w:num w:numId="57">
    <w:abstractNumId w:val="5"/>
  </w:num>
  <w:num w:numId="58">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CB"/>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DB8"/>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46A5"/>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6B"/>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A15"/>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C6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1">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Char1">
    <w:name w:val="题注 Char1"/>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FA1AA0"/>
    <w:rPr>
      <w:rFonts w:ascii="Arial" w:eastAsia="MS Mincho" w:hAnsi="Arial"/>
      <w:b/>
      <w:szCs w:val="24"/>
      <w:lang w:val="en-US" w:eastAsia="en-US" w:bidi="ar-SA"/>
    </w:rPr>
  </w:style>
  <w:style w:type="character" w:customStyle="1" w:styleId="Char0">
    <w:name w:val="正文文本 Char"/>
    <w:link w:val="a0"/>
    <w:qFormat/>
    <w:rsid w:val="00FA1AA0"/>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FA1AA0"/>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Char1"/>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FA1AA0"/>
    <w:pPr>
      <w:spacing w:after="120"/>
      <w:jc w:val="both"/>
    </w:pPr>
    <w:rPr>
      <w:rFonts w:eastAsia="MS Mincho"/>
    </w:rPr>
  </w:style>
  <w:style w:type="paragraph" w:styleId="ae">
    <w:name w:val="annotation subject"/>
    <w:basedOn w:val="ab"/>
    <w:next w:val="ab"/>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b">
    <w:name w:val="annotation text"/>
    <w:basedOn w:val="a"/>
    <w:link w:val="Char10"/>
    <w:uiPriority w:val="99"/>
    <w:qFormat/>
    <w:rsid w:val="00FA1AA0"/>
  </w:style>
  <w:style w:type="paragraph" w:styleId="80">
    <w:name w:val="toc 8"/>
    <w:basedOn w:val="1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FA1AA0"/>
    <w:pPr>
      <w:numPr>
        <w:numId w:val="3"/>
      </w:numPr>
      <w:tabs>
        <w:tab w:val="left" w:pos="2041"/>
      </w:tabs>
      <w:spacing w:before="180"/>
    </w:pPr>
    <w:rPr>
      <w:rFonts w:ascii="Arial" w:hAnsi="Arial"/>
      <w:sz w:val="22"/>
      <w:szCs w:val="20"/>
    </w:rPr>
  </w:style>
  <w:style w:type="paragraph" w:styleId="ad">
    <w:name w:val="Document Map"/>
    <w:basedOn w:val="a"/>
    <w:semiHidden/>
    <w:rsid w:val="00FA1AA0"/>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FA1AA0"/>
    <w:pPr>
      <w:tabs>
        <w:tab w:val="center" w:pos="4536"/>
        <w:tab w:val="right" w:pos="9072"/>
      </w:tabs>
    </w:pPr>
    <w:rPr>
      <w:rFonts w:ascii="Arial" w:eastAsia="MS Mincho" w:hAnsi="Arial"/>
      <w:b/>
    </w:rPr>
  </w:style>
  <w:style w:type="paragraph" w:styleId="af0">
    <w:name w:val="Balloon Text"/>
    <w:basedOn w:val="a"/>
    <w:semiHidden/>
    <w:rsid w:val="00FA1AA0"/>
    <w:rPr>
      <w:sz w:val="18"/>
      <w:szCs w:val="18"/>
    </w:rPr>
  </w:style>
  <w:style w:type="paragraph" w:styleId="af">
    <w:name w:val="List"/>
    <w:basedOn w:val="a"/>
    <w:rsid w:val="00FA1AA0"/>
    <w:pPr>
      <w:ind w:left="283" w:hanging="283"/>
    </w:pPr>
  </w:style>
  <w:style w:type="paragraph" w:styleId="af1">
    <w:name w:val="footer"/>
    <w:basedOn w:val="a"/>
    <w:rsid w:val="00FA1AA0"/>
    <w:pPr>
      <w:tabs>
        <w:tab w:val="center" w:pos="4153"/>
        <w:tab w:val="right" w:pos="8306"/>
      </w:tabs>
      <w:snapToGrid w:val="0"/>
    </w:pPr>
    <w:rPr>
      <w:sz w:val="18"/>
      <w:szCs w:val="18"/>
    </w:rPr>
  </w:style>
  <w:style w:type="paragraph" w:styleId="11">
    <w:name w:val="toc 1"/>
    <w:basedOn w:val="a"/>
    <w:next w:val="a"/>
    <w:rsid w:val="00FA1AA0"/>
  </w:style>
  <w:style w:type="paragraph" w:styleId="af2">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3">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3">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C07C5-D62F-4CED-9566-4627DA12B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937</Words>
  <Characters>5347</Characters>
  <Application>Microsoft Office Word</Application>
  <DocSecurity>0</DocSecurity>
  <Lines>44</Lines>
  <Paragraphs>12</Paragraphs>
  <ScaleCrop>false</ScaleCrop>
  <Company>Vivo</Company>
  <LinksUpToDate>false</LinksUpToDate>
  <CharactersWithSpaces>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2020-04-10T13:14:00Z</dcterms:created>
  <dcterms:modified xsi:type="dcterms:W3CDTF">2020-04-10T13:14:00Z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